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ascii="方正小标宋简体" w:hAnsi="方正小标宋简体" w:eastAsia="方正小标宋简体" w:cs="方正小标宋简体"/>
          <w:strike/>
          <w:sz w:val="44"/>
          <w:szCs w:val="44"/>
          <w:highlight w:val="yellow"/>
        </w:rPr>
      </w:pPr>
      <w:r>
        <w:rPr>
          <w:rFonts w:hint="eastAsia" w:ascii="方正小标宋简体" w:hAnsi="方正小标宋简体" w:eastAsia="方正小标宋简体" w:cs="方正小标宋简体"/>
          <w:sz w:val="44"/>
          <w:szCs w:val="44"/>
        </w:rPr>
        <w:t>贵州理工学院采购工作管理办法</w:t>
      </w:r>
    </w:p>
    <w:p>
      <w:pPr>
        <w:snapToGrid w:val="0"/>
        <w:spacing w:line="600" w:lineRule="exact"/>
        <w:rPr>
          <w:rFonts w:ascii="黑体" w:hAnsi="黑体" w:eastAsia="黑体" w:cs="黑体"/>
          <w:b/>
          <w:sz w:val="32"/>
          <w:szCs w:val="32"/>
        </w:rPr>
      </w:pPr>
      <w:r>
        <w:rPr>
          <w:rFonts w:hint="eastAsia" w:ascii="黑体" w:hAnsi="黑体" w:eastAsia="黑体" w:cs="黑体"/>
          <w:b/>
          <w:sz w:val="32"/>
          <w:szCs w:val="32"/>
        </w:rPr>
        <w:t xml:space="preserve">                 第一章 总 则</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第一条  </w:t>
      </w:r>
      <w:r>
        <w:rPr>
          <w:rFonts w:hint="eastAsia" w:ascii="仿宋" w:hAnsi="仿宋" w:eastAsia="仿宋" w:cs="仿宋"/>
          <w:sz w:val="32"/>
          <w:szCs w:val="32"/>
        </w:rPr>
        <w:t>为了进一步规范我校采购工作，维护学校利益，提高办学投资效益，加强对采购活动的监督管理，防止违规、违纪及腐败问题的发生。根据《中华人民共和国招标投标法》、《中华人民共和国政府采购法》、《政府采购货物和服务招标管理办法》、《中华人民共和国政府采购法实施条例》、《政府采购货物和服务招标投标管理办法》、《政府采购非招标采购方式管理办法》及《贵州省建设工程招标投标管理条例》、《贵州省建筑工程招标投标实施办法》《省人民政府办公厅关于印发贵州省政府集中采购目录及限额标准（2021年版）的通知》和其他有关法律法规规定，结合学校实际，制定本办法。</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第二条  </w:t>
      </w:r>
      <w:r>
        <w:rPr>
          <w:rFonts w:hint="eastAsia" w:ascii="仿宋" w:hAnsi="仿宋" w:eastAsia="仿宋" w:cs="仿宋"/>
          <w:sz w:val="32"/>
          <w:szCs w:val="32"/>
        </w:rPr>
        <w:t xml:space="preserve">本办法所指采购是指学校以合同方式有偿取得货物、工程、服务的行为，包括购买、租赁、委托、雇用等。 </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货物是指各种形态和种类的物品，包括原材料、燃料、设备、产品等；</w:t>
      </w:r>
    </w:p>
    <w:p>
      <w:pPr>
        <w:pStyle w:val="17"/>
        <w:snapToGrid w:val="0"/>
        <w:spacing w:line="600" w:lineRule="exact"/>
        <w:ind w:firstLine="640"/>
        <w:rPr>
          <w:rFonts w:ascii="仿宋" w:hAnsi="仿宋" w:eastAsia="仿宋" w:cs="仿宋"/>
          <w:sz w:val="32"/>
          <w:szCs w:val="32"/>
        </w:rPr>
      </w:pPr>
      <w:r>
        <w:rPr>
          <w:rFonts w:hint="eastAsia" w:ascii="仿宋" w:hAnsi="仿宋" w:eastAsia="仿宋" w:cs="仿宋"/>
          <w:sz w:val="32"/>
          <w:szCs w:val="32"/>
        </w:rPr>
        <w:t>工程是指建设工程，包括建筑物和构筑物的新建、改建、扩建、装修、拆除、修缮等；</w:t>
      </w:r>
    </w:p>
    <w:p>
      <w:pPr>
        <w:pStyle w:val="17"/>
        <w:snapToGrid w:val="0"/>
        <w:spacing w:line="600" w:lineRule="exact"/>
        <w:ind w:firstLine="640"/>
        <w:rPr>
          <w:rFonts w:ascii="仿宋" w:hAnsi="仿宋" w:eastAsia="仿宋" w:cs="仿宋"/>
          <w:sz w:val="32"/>
          <w:szCs w:val="32"/>
        </w:rPr>
      </w:pPr>
      <w:r>
        <w:rPr>
          <w:rFonts w:hint="eastAsia" w:ascii="仿宋" w:hAnsi="仿宋" w:eastAsia="仿宋" w:cs="仿宋"/>
          <w:sz w:val="32"/>
          <w:szCs w:val="32"/>
        </w:rPr>
        <w:t>服务是指除货物和工程以外的其他采购对象，包括经济技术服务、人力服务、安保服务、物业服务等。凡学校各单位申报的采购项目，均须执行本办法。</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第三条  </w:t>
      </w:r>
      <w:r>
        <w:rPr>
          <w:rFonts w:hint="eastAsia" w:ascii="仿宋" w:hAnsi="仿宋" w:eastAsia="仿宋" w:cs="仿宋"/>
          <w:sz w:val="32"/>
          <w:szCs w:val="32"/>
        </w:rPr>
        <w:t>采购工作应当遵循公开透明、公平竞争、公正诚信的原则。</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第四条  </w:t>
      </w:r>
      <w:r>
        <w:rPr>
          <w:rFonts w:hint="eastAsia" w:ascii="仿宋" w:hAnsi="仿宋" w:eastAsia="仿宋" w:cs="仿宋"/>
          <w:sz w:val="32"/>
          <w:szCs w:val="32"/>
        </w:rPr>
        <w:t>采购活动必须接受学校纪检监察和审计部门的监督。</w:t>
      </w:r>
    </w:p>
    <w:p>
      <w:pPr>
        <w:snapToGrid w:val="0"/>
        <w:spacing w:line="600" w:lineRule="exact"/>
        <w:jc w:val="center"/>
        <w:rPr>
          <w:rFonts w:ascii="黑体" w:hAnsi="黑体" w:eastAsia="黑体" w:cs="黑体"/>
          <w:b/>
          <w:sz w:val="32"/>
          <w:szCs w:val="32"/>
        </w:rPr>
      </w:pPr>
      <w:r>
        <w:rPr>
          <w:rFonts w:hint="eastAsia" w:ascii="黑体" w:hAnsi="黑体" w:eastAsia="黑体" w:cs="黑体"/>
          <w:b/>
          <w:sz w:val="32"/>
          <w:szCs w:val="32"/>
        </w:rPr>
        <w:t>第二章 采购组织机构及工作职责</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第五条  </w:t>
      </w:r>
      <w:r>
        <w:rPr>
          <w:rFonts w:hint="eastAsia" w:ascii="仿宋" w:hAnsi="仿宋" w:eastAsia="仿宋" w:cs="仿宋"/>
          <w:sz w:val="32"/>
          <w:szCs w:val="32"/>
        </w:rPr>
        <w:t>成立学校采购工作领导小组，全面负责学校的各项采购工作。组长由校长担任，常务副组长由</w:t>
      </w:r>
      <w:r>
        <w:rPr>
          <w:rFonts w:hint="eastAsia" w:ascii="仿宋_GB2312" w:hAnsi="仿宋" w:eastAsia="仿宋_GB2312" w:cs="仿宋"/>
          <w:sz w:val="32"/>
          <w:szCs w:val="32"/>
        </w:rPr>
        <w:t>分管国有资产及招标办的</w:t>
      </w:r>
      <w:r>
        <w:rPr>
          <w:rFonts w:hint="eastAsia" w:ascii="仿宋" w:hAnsi="仿宋" w:eastAsia="仿宋" w:cs="仿宋"/>
          <w:sz w:val="32"/>
          <w:szCs w:val="32"/>
        </w:rPr>
        <w:t>校领导担任，副组长由项目归口管理单位分管校领导担任。</w:t>
      </w:r>
    </w:p>
    <w:p>
      <w:pPr>
        <w:pStyle w:val="17"/>
        <w:snapToGrid w:val="0"/>
        <w:spacing w:line="600" w:lineRule="exact"/>
        <w:ind w:firstLine="640"/>
        <w:rPr>
          <w:rFonts w:ascii="仿宋" w:hAnsi="仿宋" w:eastAsia="仿宋" w:cs="仿宋"/>
          <w:sz w:val="32"/>
          <w:szCs w:val="32"/>
        </w:rPr>
      </w:pPr>
      <w:r>
        <w:rPr>
          <w:rFonts w:hint="eastAsia" w:ascii="仿宋" w:hAnsi="仿宋" w:eastAsia="仿宋" w:cs="仿宋"/>
          <w:sz w:val="32"/>
          <w:szCs w:val="32"/>
        </w:rPr>
        <w:t>成员由国有资产管理处、后勤管理处、基建处、实验室与设备管理处、信息网络中心、财务处、审计处、监察室与工会等有关职能部门负责人组成。</w:t>
      </w:r>
    </w:p>
    <w:p>
      <w:pPr>
        <w:pStyle w:val="17"/>
        <w:snapToGrid w:val="0"/>
        <w:spacing w:line="600" w:lineRule="exact"/>
        <w:ind w:firstLine="640"/>
        <w:rPr>
          <w:rFonts w:ascii="仿宋" w:hAnsi="仿宋" w:eastAsia="仿宋" w:cs="仿宋"/>
          <w:sz w:val="32"/>
          <w:szCs w:val="32"/>
        </w:rPr>
      </w:pPr>
      <w:r>
        <w:rPr>
          <w:rFonts w:hint="eastAsia" w:ascii="仿宋" w:hAnsi="仿宋" w:eastAsia="仿宋" w:cs="仿宋"/>
          <w:sz w:val="32"/>
          <w:szCs w:val="32"/>
        </w:rPr>
        <w:t>采购工作领导小组下设办公室。</w:t>
      </w:r>
      <w:r>
        <w:rPr>
          <w:rFonts w:hint="eastAsia" w:ascii="仿宋_GB2312" w:hAnsi="仿宋" w:eastAsia="仿宋_GB2312" w:cs="仿宋"/>
          <w:sz w:val="32"/>
          <w:szCs w:val="32"/>
        </w:rPr>
        <w:t>办公室设在国有资产管理处，由国有资产管理处分管采购工作的处级干部担任办公室主任。</w:t>
      </w:r>
    </w:p>
    <w:p>
      <w:pPr>
        <w:pStyle w:val="17"/>
        <w:snapToGrid w:val="0"/>
        <w:spacing w:line="600" w:lineRule="exact"/>
        <w:ind w:firstLine="640"/>
        <w:rPr>
          <w:rFonts w:ascii="仿宋" w:hAnsi="仿宋" w:eastAsia="仿宋" w:cs="仿宋"/>
          <w:sz w:val="32"/>
          <w:szCs w:val="32"/>
        </w:rPr>
      </w:pPr>
      <w:r>
        <w:rPr>
          <w:rFonts w:hint="eastAsia" w:ascii="仿宋" w:hAnsi="仿宋" w:eastAsia="仿宋" w:cs="仿宋"/>
          <w:sz w:val="32"/>
          <w:szCs w:val="32"/>
        </w:rPr>
        <w:t>采购工作领导小组按照项目归口管理原则，下设四个采购工作组，即：新校区建设项目采购工作组、修缮和服务项目采购工作组、信息化建设项目采购工作组、</w:t>
      </w:r>
      <w:r>
        <w:rPr>
          <w:rFonts w:hint="eastAsia" w:ascii="仿宋_GB2312" w:hAnsi="仿宋" w:eastAsia="仿宋_GB2312" w:cs="仿宋"/>
          <w:sz w:val="32"/>
          <w:szCs w:val="32"/>
        </w:rPr>
        <w:t>货物和实验室建设</w:t>
      </w:r>
      <w:r>
        <w:rPr>
          <w:rFonts w:hint="eastAsia" w:ascii="仿宋" w:hAnsi="仿宋" w:eastAsia="仿宋" w:cs="仿宋"/>
          <w:sz w:val="32"/>
          <w:szCs w:val="32"/>
        </w:rPr>
        <w:t>采购工作组。</w:t>
      </w:r>
    </w:p>
    <w:p>
      <w:pPr>
        <w:pStyle w:val="17"/>
        <w:snapToGrid w:val="0"/>
        <w:spacing w:line="600" w:lineRule="exact"/>
        <w:ind w:firstLine="0" w:firstLineChars="0"/>
        <w:rPr>
          <w:rFonts w:ascii="仿宋_GB2312" w:hAnsi="仿宋" w:eastAsia="仿宋_GB2312" w:cs="仿宋"/>
          <w:sz w:val="32"/>
          <w:szCs w:val="32"/>
        </w:rPr>
      </w:pPr>
      <w:r>
        <w:rPr>
          <w:rFonts w:hint="eastAsia" w:ascii="仿宋" w:hAnsi="仿宋" w:eastAsia="仿宋" w:cs="仿宋"/>
          <w:b/>
          <w:bCs/>
          <w:sz w:val="32"/>
          <w:szCs w:val="32"/>
        </w:rPr>
        <w:t xml:space="preserve">     第六条  </w:t>
      </w:r>
      <w:r>
        <w:rPr>
          <w:rFonts w:hint="eastAsia" w:ascii="仿宋" w:hAnsi="仿宋" w:eastAsia="仿宋" w:cs="仿宋"/>
          <w:sz w:val="32"/>
          <w:szCs w:val="32"/>
        </w:rPr>
        <w:t>采购工作领导小组职责：</w:t>
      </w:r>
      <w:r>
        <w:rPr>
          <w:rFonts w:hint="eastAsia" w:ascii="仿宋_GB2312" w:hAnsi="仿宋" w:eastAsia="仿宋_GB2312" w:cs="仿宋"/>
          <w:sz w:val="32"/>
          <w:szCs w:val="32"/>
          <w:lang w:bidi="ar"/>
        </w:rPr>
        <w:t>全面领导学校的采购工作；</w:t>
      </w:r>
      <w:r>
        <w:rPr>
          <w:rFonts w:hint="eastAsia" w:ascii="仿宋_GB2312" w:hAnsi="仿宋" w:eastAsia="仿宋_GB2312" w:cs="仿宋"/>
          <w:sz w:val="32"/>
          <w:szCs w:val="32"/>
        </w:rPr>
        <w:t>研究采购重大问题；审定与采购相关的管理办法；审定特殊项目的采购方式；讨论、审定重要项目的采购工作；研究处理采购纠纷，否决违反规定的采购结果，纠正采购工作中的各种错误；审查各采购工作组的工作。</w:t>
      </w:r>
    </w:p>
    <w:p>
      <w:pPr>
        <w:snapToGrid w:val="0"/>
        <w:spacing w:line="600" w:lineRule="exact"/>
        <w:jc w:val="left"/>
        <w:rPr>
          <w:rFonts w:ascii="仿宋_GB2312" w:hAnsi="仿宋" w:eastAsia="仿宋_GB2312" w:cs="仿宋"/>
          <w:sz w:val="32"/>
          <w:szCs w:val="32"/>
        </w:rPr>
      </w:pPr>
      <w:r>
        <w:rPr>
          <w:rFonts w:hint="eastAsia" w:ascii="仿宋" w:hAnsi="仿宋" w:eastAsia="仿宋" w:cs="仿宋"/>
          <w:b/>
          <w:bCs/>
          <w:sz w:val="32"/>
          <w:szCs w:val="32"/>
        </w:rPr>
        <w:t xml:space="preserve">    第七条  </w:t>
      </w:r>
      <w:r>
        <w:rPr>
          <w:rFonts w:hint="eastAsia" w:ascii="仿宋" w:hAnsi="仿宋" w:eastAsia="仿宋" w:cs="仿宋"/>
          <w:bCs/>
          <w:sz w:val="32"/>
          <w:szCs w:val="32"/>
        </w:rPr>
        <w:t>采购</w:t>
      </w:r>
      <w:r>
        <w:rPr>
          <w:rFonts w:hint="eastAsia" w:ascii="仿宋" w:hAnsi="仿宋" w:eastAsia="仿宋" w:cs="仿宋"/>
          <w:sz w:val="32"/>
          <w:szCs w:val="32"/>
        </w:rPr>
        <w:t>领导小组办公室职责：</w:t>
      </w:r>
      <w:r>
        <w:rPr>
          <w:rFonts w:hint="eastAsia" w:ascii="仿宋_GB2312" w:hAnsi="仿宋" w:eastAsia="仿宋_GB2312" w:cs="仿宋"/>
          <w:sz w:val="32"/>
          <w:szCs w:val="32"/>
          <w:lang w:bidi="ar"/>
        </w:rPr>
        <w:t>负责处理采购领导小组日常事务，执行采购领导小组决议，贯彻《贵州理工学院采购工作管理办法》以及国家相关法律法规；起草修订与采购相关的规章制度；根据采购工作组相关申请材料确定采购形式，组织抽取招标代理机构，编制采购文件，组织会审采购文件，组织抽取确定学校代表；发布项目采购公告、中标（成交）公告，组织协调采购评审工作；协调处理采购过程中各种澄清、变更、质疑、投诉工作；管理采购文件；协议供货；研究采购工作新思路、新方法。</w:t>
      </w:r>
    </w:p>
    <w:p>
      <w:pPr>
        <w:pStyle w:val="38"/>
        <w:rPr>
          <w:rFonts w:ascii="仿宋_GB2312" w:hAnsi="仿宋" w:eastAsia="仿宋_GB2312" w:cs="仿宋"/>
          <w:sz w:val="32"/>
          <w:szCs w:val="32"/>
        </w:rPr>
      </w:pPr>
      <w:r>
        <w:rPr>
          <w:rFonts w:hint="eastAsia" w:ascii="仿宋" w:hAnsi="仿宋" w:eastAsia="仿宋" w:cs="仿宋"/>
          <w:b/>
          <w:bCs/>
          <w:sz w:val="32"/>
          <w:szCs w:val="32"/>
        </w:rPr>
        <w:t xml:space="preserve">    第八条  </w:t>
      </w:r>
      <w:r>
        <w:rPr>
          <w:rFonts w:hint="eastAsia" w:ascii="仿宋" w:hAnsi="仿宋" w:eastAsia="仿宋" w:cs="仿宋"/>
          <w:sz w:val="32"/>
          <w:szCs w:val="32"/>
        </w:rPr>
        <w:t>采购工作组职责：</w:t>
      </w:r>
      <w:r>
        <w:rPr>
          <w:rFonts w:hint="eastAsia" w:ascii="仿宋_GB2312" w:hAnsi="仿宋" w:eastAsia="仿宋_GB2312" w:cs="仿宋"/>
          <w:sz w:val="32"/>
          <w:szCs w:val="32"/>
        </w:rPr>
        <w:t>接受项目单位采购计划申请，报送</w:t>
      </w:r>
      <w:r>
        <w:rPr>
          <w:rFonts w:hint="eastAsia" w:ascii="仿宋_GB2312" w:hAnsi="仿宋" w:eastAsia="仿宋_GB2312" w:cs="仿宋"/>
          <w:color w:val="auto"/>
          <w:sz w:val="32"/>
          <w:szCs w:val="32"/>
        </w:rPr>
        <w:t>采购意向</w:t>
      </w:r>
      <w:r>
        <w:rPr>
          <w:rFonts w:hint="eastAsia" w:ascii="仿宋_GB2312" w:hAnsi="仿宋" w:eastAsia="仿宋_GB2312" w:cs="仿宋"/>
          <w:color w:val="auto"/>
          <w:sz w:val="32"/>
          <w:szCs w:val="32"/>
          <w:lang w:eastAsia="zh-CN"/>
        </w:rPr>
        <w:t>、</w:t>
      </w:r>
      <w:r>
        <w:rPr>
          <w:rFonts w:hint="eastAsia" w:ascii="仿宋_GB2312" w:hAnsi="仿宋" w:eastAsia="仿宋_GB2312" w:cs="仿宋"/>
          <w:sz w:val="32"/>
          <w:szCs w:val="32"/>
        </w:rPr>
        <w:t>季度采购计划，开展可行性论证，审核项目单位报送的采购需求、技术参数及方案，编制或配合编制采购文件；组织或指导实施采购，解决采购过程中存在的问题，确定采购结果；组织采购合同的洽谈、合同文本的审核、签订工作，监督合同履行情况，处理项目实施过程中存在的问题；组织项目验收。</w:t>
      </w:r>
    </w:p>
    <w:p>
      <w:pPr>
        <w:pStyle w:val="17"/>
        <w:snapToGrid w:val="0"/>
        <w:spacing w:line="600" w:lineRule="exact"/>
        <w:ind w:firstLine="642" w:firstLineChars="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监察室有权对考察、调研、市场询价，招标代理公司抽取，采购文件编制、论证（会审），专家抽取，开标、评标、定标，质疑回复，合同签订等重点环节进行专项监督，受理各种举报，对采购工作中存在的违纪违法行为进行调查核实，并提出处理建议。</w:t>
      </w:r>
    </w:p>
    <w:p>
      <w:pPr>
        <w:pStyle w:val="17"/>
        <w:snapToGrid w:val="0"/>
        <w:spacing w:line="600" w:lineRule="exact"/>
        <w:ind w:firstLine="642" w:firstLineChars="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审计处对造价编制，招标代理公司抽取，采购文件编制论证（会审），评审专家抽取，开标、评标、定标，质疑回复，合同签订等重点环节进行审计监督。</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第十一条 </w:t>
      </w:r>
      <w:r>
        <w:rPr>
          <w:rFonts w:hint="eastAsia" w:ascii="仿宋" w:hAnsi="仿宋" w:eastAsia="仿宋" w:cs="仿宋"/>
          <w:sz w:val="32"/>
          <w:szCs w:val="32"/>
        </w:rPr>
        <w:t>工会等群团组织有权对采购项目进行民主监督。</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第十二条  </w:t>
      </w:r>
      <w:r>
        <w:rPr>
          <w:rFonts w:hint="eastAsia" w:ascii="仿宋" w:hAnsi="仿宋" w:eastAsia="仿宋" w:cs="仿宋"/>
          <w:sz w:val="32"/>
          <w:szCs w:val="32"/>
        </w:rPr>
        <w:t>采购工作组织机构及职责另行行文。</w:t>
      </w:r>
    </w:p>
    <w:p>
      <w:pPr>
        <w:snapToGrid w:val="0"/>
        <w:spacing w:line="600" w:lineRule="exact"/>
        <w:jc w:val="center"/>
        <w:rPr>
          <w:rFonts w:ascii="黑体" w:hAnsi="黑体" w:eastAsia="黑体" w:cs="黑体"/>
          <w:b/>
          <w:sz w:val="32"/>
          <w:szCs w:val="32"/>
        </w:rPr>
      </w:pPr>
      <w:r>
        <w:rPr>
          <w:rFonts w:hint="eastAsia" w:ascii="黑体" w:hAnsi="黑体" w:eastAsia="黑体" w:cs="黑体"/>
          <w:b/>
          <w:sz w:val="32"/>
          <w:szCs w:val="32"/>
        </w:rPr>
        <w:t>第三章 采购方式、采购形式及采购限额标准</w:t>
      </w:r>
    </w:p>
    <w:p>
      <w:pPr>
        <w:adjustRightInd w:val="0"/>
        <w:spacing w:line="600" w:lineRule="exact"/>
        <w:jc w:val="left"/>
        <w:rPr>
          <w:rFonts w:ascii="仿宋_GB2312" w:hAnsi="仿宋_GB2312" w:eastAsia="仿宋_GB2312" w:cs="仿宋_GB2312"/>
          <w:sz w:val="32"/>
          <w:szCs w:val="32"/>
        </w:rPr>
      </w:pPr>
      <w:r>
        <w:rPr>
          <w:rFonts w:hint="eastAsia" w:ascii="仿宋" w:hAnsi="仿宋" w:eastAsia="仿宋" w:cs="仿宋"/>
          <w:b/>
          <w:bCs/>
          <w:sz w:val="32"/>
          <w:szCs w:val="32"/>
        </w:rPr>
        <w:t xml:space="preserve">    第十三条  </w:t>
      </w:r>
      <w:r>
        <w:rPr>
          <w:rFonts w:hint="eastAsia" w:ascii="仿宋" w:hAnsi="仿宋" w:eastAsia="仿宋" w:cs="仿宋"/>
          <w:sz w:val="32"/>
          <w:szCs w:val="32"/>
        </w:rPr>
        <w:t>采购方式分为公开招标、邀请招标、</w:t>
      </w:r>
      <w:r>
        <w:fldChar w:fldCharType="begin"/>
      </w:r>
      <w:r>
        <w:instrText xml:space="preserve"> HYPERLINK "http://baike.so.com/doc/490096-518938.html" \t "http://baike.so.com/doc/_blank" </w:instrText>
      </w:r>
      <w:r>
        <w:fldChar w:fldCharType="separate"/>
      </w:r>
      <w:r>
        <w:rPr>
          <w:rStyle w:val="14"/>
          <w:rFonts w:hint="eastAsia" w:ascii="仿宋" w:hAnsi="仿宋" w:eastAsia="仿宋" w:cs="仿宋"/>
          <w:color w:val="auto"/>
          <w:sz w:val="32"/>
          <w:szCs w:val="32"/>
        </w:rPr>
        <w:t>竞争性谈判</w:t>
      </w:r>
      <w:r>
        <w:rPr>
          <w:rStyle w:val="14"/>
          <w:rFonts w:hint="eastAsia" w:ascii="仿宋" w:hAnsi="仿宋" w:eastAsia="仿宋" w:cs="仿宋"/>
          <w:color w:val="auto"/>
          <w:sz w:val="32"/>
          <w:szCs w:val="32"/>
        </w:rPr>
        <w:fldChar w:fldCharType="end"/>
      </w:r>
      <w:r>
        <w:rPr>
          <w:rFonts w:hint="eastAsia" w:ascii="仿宋" w:hAnsi="仿宋" w:eastAsia="仿宋" w:cs="仿宋"/>
          <w:sz w:val="32"/>
          <w:szCs w:val="32"/>
        </w:rPr>
        <w:t>、竞争性磋商、</w:t>
      </w:r>
      <w:r>
        <w:fldChar w:fldCharType="begin"/>
      </w:r>
      <w:r>
        <w:instrText xml:space="preserve"> HYPERLINK "http://baike.so.com/doc/5537281-5755351.html" \t "http://baike.so.com/doc/_blank" </w:instrText>
      </w:r>
      <w:r>
        <w:fldChar w:fldCharType="separate"/>
      </w:r>
      <w:r>
        <w:rPr>
          <w:rStyle w:val="14"/>
          <w:rFonts w:hint="eastAsia" w:ascii="仿宋" w:hAnsi="仿宋" w:eastAsia="仿宋" w:cs="仿宋"/>
          <w:color w:val="auto"/>
          <w:sz w:val="32"/>
          <w:szCs w:val="32"/>
        </w:rPr>
        <w:t>单一来源采购</w:t>
      </w:r>
      <w:r>
        <w:rPr>
          <w:rStyle w:val="14"/>
          <w:rFonts w:hint="eastAsia" w:ascii="仿宋" w:hAnsi="仿宋" w:eastAsia="仿宋" w:cs="仿宋"/>
          <w:color w:val="auto"/>
          <w:sz w:val="32"/>
          <w:szCs w:val="32"/>
        </w:rPr>
        <w:fldChar w:fldCharType="end"/>
      </w:r>
      <w:r>
        <w:rPr>
          <w:rFonts w:hint="eastAsia" w:ascii="仿宋" w:hAnsi="仿宋" w:eastAsia="仿宋" w:cs="仿宋"/>
          <w:sz w:val="32"/>
          <w:szCs w:val="32"/>
        </w:rPr>
        <w:t>、询价（竞价）、政府协议供货采购、以及政府</w:t>
      </w:r>
      <w:r>
        <w:rPr>
          <w:rFonts w:hint="eastAsia" w:ascii="仿宋_GB2312" w:hAnsi="仿宋_GB2312" w:eastAsia="仿宋_GB2312" w:cs="仿宋_GB2312"/>
          <w:sz w:val="32"/>
          <w:szCs w:val="32"/>
        </w:rPr>
        <w:t>采购监督管理部门认定的其他采购方式。</w:t>
      </w:r>
    </w:p>
    <w:p>
      <w:pPr>
        <w:adjustRightInd w:val="0"/>
        <w:spacing w:line="600" w:lineRule="exact"/>
        <w:jc w:val="left"/>
        <w:rPr>
          <w:rFonts w:ascii="仿宋" w:hAnsi="仿宋" w:eastAsia="仿宋" w:cs="仿宋"/>
          <w:sz w:val="32"/>
          <w:szCs w:val="32"/>
        </w:rPr>
      </w:pPr>
      <w:r>
        <w:rPr>
          <w:rFonts w:hint="eastAsia" w:ascii="仿宋" w:hAnsi="仿宋" w:eastAsia="仿宋" w:cs="仿宋"/>
          <w:b/>
          <w:bCs/>
          <w:sz w:val="32"/>
          <w:szCs w:val="32"/>
        </w:rPr>
        <w:t xml:space="preserve">    第十四条</w:t>
      </w:r>
      <w:r>
        <w:rPr>
          <w:rFonts w:hint="eastAsia" w:ascii="仿宋" w:hAnsi="仿宋" w:eastAsia="仿宋" w:cs="仿宋"/>
          <w:sz w:val="32"/>
          <w:szCs w:val="32"/>
        </w:rPr>
        <w:t xml:space="preserve">  采购形式分为委托采购、自行（主）采购。下列项目须通过委托相应的招标代理机构进行采购：</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（一）货物和服务类，50万元（含）以上的采购项目；工程类，60万元（含）以上的采购项目。</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（二）学校采购招标工作领导小组认为必须进行委托采购的其他项目。</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第十五条</w:t>
      </w:r>
      <w:r>
        <w:rPr>
          <w:rFonts w:hint="eastAsia" w:ascii="仿宋" w:hAnsi="仿宋" w:eastAsia="仿宋" w:cs="仿宋"/>
          <w:sz w:val="32"/>
          <w:szCs w:val="32"/>
        </w:rPr>
        <w:t xml:space="preserve">  达不到委托采购规定的项目，可根据采购限额标准分别由相应部门（单位）通过政府采购相关法规规定的采购方式，即竞争性谈判、竞争性磋商、询价（竞价）、单一来源采购、协议供货等方式进行采购。</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第十六条  </w:t>
      </w:r>
      <w:r>
        <w:rPr>
          <w:rFonts w:hint="eastAsia" w:ascii="仿宋" w:hAnsi="仿宋" w:eastAsia="仿宋" w:cs="仿宋"/>
          <w:sz w:val="32"/>
          <w:szCs w:val="32"/>
        </w:rPr>
        <w:t>具体采购方式及限额标准另行行文。</w:t>
      </w:r>
    </w:p>
    <w:p>
      <w:pPr>
        <w:snapToGrid w:val="0"/>
        <w:spacing w:line="600" w:lineRule="exact"/>
        <w:jc w:val="center"/>
        <w:rPr>
          <w:rFonts w:ascii="黑体" w:hAnsi="黑体" w:eastAsia="黑体" w:cs="黑体"/>
          <w:b/>
          <w:sz w:val="32"/>
          <w:szCs w:val="32"/>
        </w:rPr>
      </w:pPr>
      <w:r>
        <w:rPr>
          <w:rFonts w:hint="eastAsia" w:ascii="黑体" w:hAnsi="黑体" w:eastAsia="黑体" w:cs="黑体"/>
          <w:b/>
          <w:sz w:val="32"/>
          <w:szCs w:val="32"/>
        </w:rPr>
        <w:t>第四章 采购工作程序</w:t>
      </w:r>
    </w:p>
    <w:p>
      <w:pPr>
        <w:pStyle w:val="17"/>
        <w:snapToGrid w:val="0"/>
        <w:spacing w:line="600" w:lineRule="exact"/>
        <w:ind w:firstLine="0" w:firstLineChars="0"/>
        <w:rPr>
          <w:rFonts w:ascii="仿宋" w:hAnsi="仿宋" w:eastAsia="仿宋" w:cs="仿宋"/>
          <w:strike/>
          <w:sz w:val="32"/>
          <w:szCs w:val="32"/>
        </w:rPr>
      </w:pPr>
      <w:r>
        <w:rPr>
          <w:rFonts w:hint="eastAsia" w:ascii="仿宋" w:hAnsi="仿宋" w:eastAsia="仿宋" w:cs="仿宋"/>
          <w:b/>
          <w:bCs/>
          <w:sz w:val="32"/>
          <w:szCs w:val="32"/>
        </w:rPr>
        <w:t xml:space="preserve">    第十七条  </w:t>
      </w:r>
      <w:r>
        <w:rPr>
          <w:rFonts w:hint="eastAsia" w:ascii="仿宋" w:hAnsi="仿宋" w:eastAsia="仿宋" w:cs="仿宋"/>
          <w:sz w:val="32"/>
          <w:szCs w:val="32"/>
        </w:rPr>
        <w:t>采购工作程序由以下几个方面组成：采购项目前期工作、采购项目受理、招标代理机构的抽取、采购文件制定、采购文件论证（会审）、采购信息发布、开标（谈判）、评审、定标、合同签订、采购工作的补充或变更等。</w:t>
      </w:r>
    </w:p>
    <w:p>
      <w:pPr>
        <w:snapToGrid w:val="0"/>
        <w:spacing w:line="600" w:lineRule="exact"/>
        <w:rPr>
          <w:rFonts w:ascii="仿宋" w:hAnsi="仿宋" w:eastAsia="仿宋" w:cs="仿宋"/>
          <w:b/>
          <w:sz w:val="32"/>
          <w:szCs w:val="32"/>
        </w:rPr>
      </w:pPr>
      <w:r>
        <w:rPr>
          <w:rFonts w:hint="eastAsia" w:ascii="仿宋" w:hAnsi="仿宋" w:eastAsia="仿宋" w:cs="仿宋"/>
          <w:b/>
          <w:bCs/>
          <w:sz w:val="32"/>
          <w:szCs w:val="32"/>
        </w:rPr>
        <w:t xml:space="preserve">    第十八条  </w:t>
      </w:r>
      <w:r>
        <w:rPr>
          <w:rFonts w:hint="eastAsia" w:ascii="仿宋" w:hAnsi="仿宋" w:eastAsia="仿宋" w:cs="仿宋"/>
          <w:sz w:val="32"/>
          <w:szCs w:val="32"/>
        </w:rPr>
        <w:t>具体采购工作程序另行行文规定。</w:t>
      </w:r>
    </w:p>
    <w:p>
      <w:pPr>
        <w:snapToGrid w:val="0"/>
        <w:spacing w:line="600" w:lineRule="exact"/>
        <w:rPr>
          <w:rFonts w:ascii="仿宋" w:hAnsi="仿宋" w:eastAsia="仿宋" w:cs="仿宋"/>
          <w:b/>
          <w:sz w:val="32"/>
          <w:szCs w:val="32"/>
        </w:rPr>
      </w:pPr>
      <w:r>
        <w:rPr>
          <w:rFonts w:hint="eastAsia" w:ascii="仿宋" w:hAnsi="仿宋" w:eastAsia="仿宋" w:cs="仿宋"/>
          <w:b/>
          <w:sz w:val="32"/>
          <w:szCs w:val="32"/>
        </w:rPr>
        <w:t xml:space="preserve">             </w:t>
      </w:r>
      <w:r>
        <w:rPr>
          <w:rFonts w:hint="eastAsia" w:ascii="黑体" w:hAnsi="黑体" w:eastAsia="黑体" w:cs="黑体"/>
          <w:b/>
          <w:sz w:val="32"/>
          <w:szCs w:val="32"/>
        </w:rPr>
        <w:t>第五章 单一来源采购项目</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第十九条  </w:t>
      </w:r>
      <w:r>
        <w:rPr>
          <w:rFonts w:hint="eastAsia" w:ascii="仿宋" w:hAnsi="仿宋" w:eastAsia="仿宋" w:cs="仿宋"/>
          <w:sz w:val="32"/>
          <w:szCs w:val="32"/>
        </w:rPr>
        <w:t>拟进行单一来源采购的项目，应由项目申报单位提出书面申请，充分陈述单一来源的理由，由相关采购工作组审核确认后，按国家相关法律程序组织实施，并将采购记录、合同等（复印件）报审计处、招标办备案。</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第二十条  </w:t>
      </w:r>
      <w:r>
        <w:rPr>
          <w:rFonts w:hint="eastAsia" w:ascii="仿宋" w:hAnsi="仿宋" w:eastAsia="仿宋" w:cs="仿宋"/>
          <w:sz w:val="32"/>
          <w:szCs w:val="32"/>
        </w:rPr>
        <w:t>对捐赠或部分捐赠的工程、货物或服务采购项目，若捐赠单位要求自行施工或购买，或者指定单位施工或指定供货商的，经相关采购工作组核实施工单位或供应商的资质、能力，若均可满足学校要求的，且不损害学校利益的，报采购工作领导小组同意后，可直接与捐赠单位商签合同，并报审计处备案。</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第二十一条  </w:t>
      </w:r>
      <w:r>
        <w:rPr>
          <w:rFonts w:hint="eastAsia" w:ascii="仿宋" w:hAnsi="仿宋" w:eastAsia="仿宋" w:cs="仿宋"/>
          <w:sz w:val="32"/>
          <w:szCs w:val="32"/>
        </w:rPr>
        <w:t>公开招标项目流标后经主管部门批准，可采取非招标方式组织采购。两次公开竞争性谈判采购流标并经主管部门批准后可参照单一来源方式采购。</w:t>
      </w:r>
    </w:p>
    <w:p>
      <w:pPr>
        <w:snapToGrid w:val="0"/>
        <w:spacing w:line="600" w:lineRule="exact"/>
        <w:ind w:firstLine="2554" w:firstLineChars="795"/>
        <w:rPr>
          <w:rFonts w:ascii="黑体" w:hAnsi="黑体" w:eastAsia="黑体" w:cs="黑体"/>
          <w:b/>
          <w:sz w:val="32"/>
          <w:szCs w:val="32"/>
        </w:rPr>
      </w:pPr>
      <w:r>
        <w:rPr>
          <w:rFonts w:hint="eastAsia" w:ascii="黑体" w:hAnsi="黑体" w:eastAsia="黑体" w:cs="黑体"/>
          <w:b/>
          <w:sz w:val="32"/>
          <w:szCs w:val="32"/>
        </w:rPr>
        <w:t>第六章 应急项目采购</w:t>
      </w:r>
    </w:p>
    <w:p>
      <w:pPr>
        <w:spacing w:line="600" w:lineRule="exact"/>
        <w:jc w:val="left"/>
        <w:rPr>
          <w:rFonts w:ascii="仿宋_GB2312" w:hAnsi="仿宋_GB2312" w:eastAsia="仿宋_GB2312" w:cs="仿宋_GB2312"/>
          <w:sz w:val="32"/>
          <w:szCs w:val="32"/>
        </w:rPr>
      </w:pPr>
      <w:r>
        <w:rPr>
          <w:rFonts w:hint="eastAsia" w:ascii="仿宋" w:hAnsi="仿宋" w:eastAsia="仿宋" w:cs="仿宋"/>
          <w:b/>
          <w:bCs/>
          <w:sz w:val="32"/>
          <w:szCs w:val="32"/>
        </w:rPr>
        <w:t xml:space="preserve">    第二十二条  </w:t>
      </w:r>
      <w:r>
        <w:rPr>
          <w:rFonts w:hint="eastAsia" w:ascii="仿宋_GB2312" w:hAnsi="仿宋_GB2312" w:eastAsia="仿宋_GB2312" w:cs="仿宋_GB2312"/>
          <w:sz w:val="32"/>
          <w:szCs w:val="32"/>
        </w:rPr>
        <w:t>应急项目采购是指学校启动应急预案后，需紧急采购货物、工程和服务的行为（简称应急采购）。</w:t>
      </w:r>
    </w:p>
    <w:p>
      <w:pPr>
        <w:pStyle w:val="17"/>
        <w:snapToGrid w:val="0"/>
        <w:spacing w:line="600" w:lineRule="exact"/>
        <w:ind w:firstLine="0" w:firstLineChars="0"/>
        <w:rPr>
          <w:rFonts w:ascii="仿宋" w:hAnsi="仿宋" w:eastAsia="仿宋" w:cs="仿宋"/>
          <w:b/>
          <w:bCs/>
          <w:sz w:val="32"/>
          <w:szCs w:val="32"/>
        </w:rPr>
      </w:pPr>
      <w:r>
        <w:rPr>
          <w:rFonts w:hint="eastAsia" w:ascii="仿宋" w:hAnsi="仿宋" w:eastAsia="仿宋" w:cs="仿宋"/>
          <w:b/>
          <w:bCs/>
          <w:sz w:val="32"/>
          <w:szCs w:val="32"/>
        </w:rPr>
        <w:t xml:space="preserve">    第二十三条  </w:t>
      </w:r>
      <w:r>
        <w:rPr>
          <w:rFonts w:hint="eastAsia" w:ascii="仿宋" w:hAnsi="仿宋" w:eastAsia="仿宋" w:cs="仿宋"/>
          <w:sz w:val="32"/>
          <w:szCs w:val="32"/>
        </w:rPr>
        <w:t>应急项目采购，需经项目申报单位分管校领导报请学校主要校领导批准后，由项目申报单位分管校领导召集采购工作组、监察室、审计处等相关人员组成应急采购工作组研究采购方案，在保证采购货物、工程和服务质量的前提下组织实施，校内纸质审批手续可以后补。</w:t>
      </w:r>
    </w:p>
    <w:p>
      <w:pPr>
        <w:pStyle w:val="17"/>
        <w:snapToGrid w:val="0"/>
        <w:spacing w:line="600" w:lineRule="exact"/>
        <w:ind w:firstLine="640"/>
        <w:rPr>
          <w:rFonts w:ascii="仿宋" w:hAnsi="仿宋" w:eastAsia="仿宋" w:cs="仿宋"/>
          <w:sz w:val="32"/>
          <w:szCs w:val="32"/>
        </w:rPr>
      </w:pPr>
      <w:r>
        <w:rPr>
          <w:rFonts w:hint="eastAsia" w:ascii="仿宋" w:hAnsi="仿宋" w:eastAsia="仿宋" w:cs="仿宋"/>
          <w:sz w:val="32"/>
          <w:szCs w:val="32"/>
        </w:rPr>
        <w:t>货物和服务类，50万元（含）以上的采购项目；工程类，60万元（含）的采购项目，须报省教育厅、省财政厅主管部门审批，经批准后按规定执行采购。</w:t>
      </w:r>
    </w:p>
    <w:p>
      <w:pPr>
        <w:widowControl/>
        <w:shd w:val="clear" w:color="auto" w:fill="FFFFFF"/>
        <w:spacing w:line="600" w:lineRule="exact"/>
        <w:jc w:val="left"/>
        <w:rPr>
          <w:rFonts w:ascii="仿宋" w:hAnsi="仿宋" w:eastAsia="仿宋" w:cs="仿宋"/>
          <w:sz w:val="32"/>
          <w:szCs w:val="32"/>
        </w:rPr>
      </w:pPr>
      <w:r>
        <w:rPr>
          <w:rFonts w:hint="eastAsia" w:ascii="仿宋" w:hAnsi="仿宋" w:eastAsia="仿宋" w:cs="仿宋"/>
          <w:b/>
          <w:sz w:val="32"/>
          <w:szCs w:val="32"/>
        </w:rPr>
        <w:t xml:space="preserve">    第二十四条、</w:t>
      </w:r>
      <w:r>
        <w:rPr>
          <w:rFonts w:hint="eastAsia" w:ascii="仿宋" w:hAnsi="仿宋" w:eastAsia="仿宋" w:cs="仿宋"/>
          <w:sz w:val="32"/>
          <w:szCs w:val="32"/>
        </w:rPr>
        <w:t>具体应急项目采购规定另行行文规定。</w:t>
      </w:r>
    </w:p>
    <w:p>
      <w:pPr>
        <w:snapToGrid w:val="0"/>
        <w:spacing w:line="600" w:lineRule="exact"/>
        <w:jc w:val="center"/>
        <w:rPr>
          <w:rFonts w:ascii="黑体" w:hAnsi="黑体" w:eastAsia="黑体" w:cs="黑体"/>
          <w:b/>
          <w:sz w:val="32"/>
          <w:szCs w:val="32"/>
        </w:rPr>
      </w:pPr>
      <w:r>
        <w:rPr>
          <w:rFonts w:hint="eastAsia" w:ascii="黑体" w:hAnsi="黑体" w:eastAsia="黑体" w:cs="黑体"/>
          <w:b/>
          <w:sz w:val="32"/>
          <w:szCs w:val="32"/>
        </w:rPr>
        <w:t>第七章 采购工作纪律及违纪、违规罚则</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第二十五条  </w:t>
      </w:r>
      <w:r>
        <w:rPr>
          <w:rFonts w:hint="eastAsia" w:ascii="仿宋" w:hAnsi="仿宋" w:eastAsia="仿宋" w:cs="仿宋"/>
          <w:sz w:val="32"/>
          <w:szCs w:val="32"/>
        </w:rPr>
        <w:t>对应按本规定施行采购而未按规定实施的采购项目，学校采购工作组对相关单位提供的资料不予受理，财务部门不予支付该项目的各种款项，国有资产管理部门不予办理固定资产入库相关手续。</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第二十六条  </w:t>
      </w:r>
      <w:r>
        <w:rPr>
          <w:rFonts w:hint="eastAsia" w:ascii="仿宋" w:hAnsi="仿宋" w:eastAsia="仿宋" w:cs="仿宋"/>
          <w:sz w:val="32"/>
          <w:szCs w:val="32"/>
        </w:rPr>
        <w:t>学校工作人员在采购过程中有下列行为之一的，将依照党纪政纪有关规定等对相关人员进行严肃处理，并追究相应经济责任；情节严重构成犯罪的，将依法移送司法机关处理。</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（一）采购活动中拒绝监督，或采购走过场；</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（二）与部分供应商串通，阻扰、排挤他人公平竞争或干扰采购活动；</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（三）与供应商相互串通，故意损害学校利益的；</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（四）采购过程中，接受供应商的吃请、娱乐和旅游，或收受供应商的红包、回扣或有价证券的；</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（五）不履行或不正确履行职责，在材料、设备、教材、图书资料、大宗物资等采购过程中，以次充好、以假冒真、以少报多，侵害学校利益的；</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（六）利用采购活动谋取私利的；</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（七）将必须进行招标的有关项目化整为零或者以其他方式规避招标的；</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（八）纪检监察、审计人员，玩忽职守、放纵违纪违规行为；或者知情不报、瞒案不办，故意纵容、包庇违纪违规单位或责任人的；</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sz w:val="32"/>
          <w:szCs w:val="32"/>
        </w:rPr>
        <w:t xml:space="preserve">    （九）其他违纪违规行为。</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第二十七条  </w:t>
      </w:r>
      <w:r>
        <w:rPr>
          <w:rFonts w:hint="eastAsia" w:ascii="仿宋" w:hAnsi="仿宋" w:eastAsia="仿宋" w:cs="仿宋"/>
          <w:sz w:val="32"/>
          <w:szCs w:val="32"/>
        </w:rPr>
        <w:t>供应商有欺诈、围标等不正当投标行为、或向采购人行贿的，当次投标按废标处理，并且在两年内该供应商及其项目负责人不得参与学校的各种采购活动；情节严重的上报政府有关部门严肃处理或通报新闻媒体，并且在五年内禁止该供应商及其项目负责人参加学校的各种采购活动。</w:t>
      </w:r>
    </w:p>
    <w:p>
      <w:pPr>
        <w:snapToGrid w:val="0"/>
        <w:spacing w:line="600" w:lineRule="exact"/>
        <w:jc w:val="center"/>
        <w:rPr>
          <w:rFonts w:ascii="黑体" w:hAnsi="黑体" w:eastAsia="黑体" w:cs="黑体"/>
          <w:b/>
          <w:sz w:val="32"/>
          <w:szCs w:val="32"/>
        </w:rPr>
      </w:pPr>
      <w:r>
        <w:rPr>
          <w:rFonts w:hint="eastAsia" w:ascii="黑体" w:hAnsi="黑体" w:eastAsia="黑体" w:cs="黑体"/>
          <w:b/>
          <w:sz w:val="32"/>
          <w:szCs w:val="32"/>
        </w:rPr>
        <w:t>第八章 附 则</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第二十八条  </w:t>
      </w:r>
      <w:r>
        <w:rPr>
          <w:rFonts w:hint="eastAsia" w:ascii="仿宋" w:hAnsi="仿宋" w:eastAsia="仿宋" w:cs="仿宋"/>
          <w:sz w:val="32"/>
          <w:szCs w:val="32"/>
        </w:rPr>
        <w:t>各采购工作组根据本办法制订相应的实施细则，报学校采购工作领导小组批准后实施。</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bCs/>
          <w:sz w:val="32"/>
          <w:szCs w:val="32"/>
        </w:rPr>
        <w:t xml:space="preserve">    第二十九条</w:t>
      </w:r>
      <w:r>
        <w:rPr>
          <w:rFonts w:hint="eastAsia" w:ascii="仿宋" w:hAnsi="仿宋" w:eastAsia="仿宋" w:cs="仿宋"/>
          <w:sz w:val="32"/>
          <w:szCs w:val="32"/>
        </w:rPr>
        <w:t xml:space="preserve">  本办法由学校采购领导小组办公室负责解释。</w:t>
      </w:r>
    </w:p>
    <w:p>
      <w:pPr>
        <w:pStyle w:val="17"/>
        <w:snapToGrid w:val="0"/>
        <w:spacing w:line="600" w:lineRule="exact"/>
        <w:ind w:firstLine="0" w:firstLineChars="0"/>
        <w:rPr>
          <w:rFonts w:ascii="仿宋" w:hAnsi="仿宋" w:eastAsia="仿宋" w:cs="仿宋"/>
          <w:sz w:val="32"/>
          <w:szCs w:val="32"/>
        </w:rPr>
      </w:pPr>
      <w:r>
        <w:rPr>
          <w:rFonts w:hint="eastAsia" w:ascii="仿宋" w:hAnsi="仿宋" w:eastAsia="仿宋" w:cs="仿宋"/>
          <w:b/>
          <w:sz w:val="32"/>
          <w:szCs w:val="32"/>
        </w:rPr>
        <w:t xml:space="preserve">    第三十条  </w:t>
      </w:r>
      <w:r>
        <w:rPr>
          <w:rFonts w:hint="eastAsia" w:ascii="仿宋_GB2312" w:hAnsi="仿宋_GB2312" w:eastAsia="仿宋_GB2312" w:cs="仿宋_GB2312"/>
          <w:sz w:val="32"/>
          <w:szCs w:val="32"/>
        </w:rPr>
        <w:t>本办法自发布之日起施行</w:t>
      </w:r>
      <w:r>
        <w:rPr>
          <w:rFonts w:hint="eastAsia" w:ascii="仿宋" w:hAnsi="仿宋" w:eastAsia="仿宋" w:cs="仿宋"/>
          <w:b/>
          <w:sz w:val="32"/>
          <w:szCs w:val="32"/>
        </w:rPr>
        <w:t>。</w:t>
      </w:r>
    </w:p>
    <w:p>
      <w:pPr>
        <w:spacing w:line="600" w:lineRule="exact"/>
        <w:rPr>
          <w:rFonts w:ascii="仿宋" w:hAnsi="仿宋" w:eastAsia="仿宋" w:cs="仿宋"/>
          <w:sz w:val="32"/>
          <w:szCs w:val="32"/>
        </w:rPr>
      </w:pPr>
      <w:r>
        <w:rPr>
          <w:rFonts w:hint="eastAsia" w:ascii="仿宋" w:hAnsi="仿宋" w:eastAsia="仿宋" w:cs="仿宋"/>
          <w:sz w:val="32"/>
          <w:szCs w:val="32"/>
        </w:rPr>
        <w:t xml:space="preserve">                 </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ind w:firstLine="4800" w:firstLineChars="1500"/>
        <w:rPr>
          <w:rFonts w:ascii="仿宋" w:hAnsi="仿宋" w:eastAsia="仿宋" w:cs="仿宋"/>
          <w:sz w:val="32"/>
          <w:szCs w:val="32"/>
        </w:rPr>
      </w:pPr>
      <w:bookmarkStart w:id="0" w:name="_GoBack"/>
      <w:bookmarkEnd w:id="0"/>
      <w:r>
        <w:rPr>
          <w:rFonts w:hint="eastAsia" w:ascii="仿宋" w:hAnsi="仿宋" w:eastAsia="仿宋" w:cs="仿宋"/>
          <w:sz w:val="32"/>
          <w:szCs w:val="32"/>
        </w:rPr>
        <w:t xml:space="preserve"> 贵州理工学院</w:t>
      </w:r>
    </w:p>
    <w:p>
      <w:pPr>
        <w:spacing w:line="600" w:lineRule="exact"/>
        <w:jc w:val="center"/>
      </w:pPr>
      <w:r>
        <w:rPr>
          <w:rFonts w:hint="eastAsia" w:ascii="仿宋" w:hAnsi="仿宋" w:eastAsia="仿宋" w:cs="仿宋"/>
          <w:sz w:val="32"/>
          <w:szCs w:val="32"/>
        </w:rPr>
        <w:t xml:space="preserve">                   2021 年4月</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270" w:right="1633" w:bottom="127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64745"/>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18"/>
    <w:rsid w:val="00002E34"/>
    <w:rsid w:val="00007BFF"/>
    <w:rsid w:val="00032E5E"/>
    <w:rsid w:val="000456AA"/>
    <w:rsid w:val="0006019D"/>
    <w:rsid w:val="00065DFE"/>
    <w:rsid w:val="000671D8"/>
    <w:rsid w:val="000821A0"/>
    <w:rsid w:val="000A317A"/>
    <w:rsid w:val="000B010B"/>
    <w:rsid w:val="000F2E5D"/>
    <w:rsid w:val="000F2F1B"/>
    <w:rsid w:val="00107E2A"/>
    <w:rsid w:val="00114E0F"/>
    <w:rsid w:val="00120D65"/>
    <w:rsid w:val="00122B8E"/>
    <w:rsid w:val="0012531C"/>
    <w:rsid w:val="00135EC9"/>
    <w:rsid w:val="00140FF5"/>
    <w:rsid w:val="00151389"/>
    <w:rsid w:val="00155661"/>
    <w:rsid w:val="00155B04"/>
    <w:rsid w:val="001741B7"/>
    <w:rsid w:val="00175E71"/>
    <w:rsid w:val="00185CFA"/>
    <w:rsid w:val="001907F8"/>
    <w:rsid w:val="001D7513"/>
    <w:rsid w:val="001E30B3"/>
    <w:rsid w:val="001F71DE"/>
    <w:rsid w:val="00206DF0"/>
    <w:rsid w:val="002146F1"/>
    <w:rsid w:val="00214E03"/>
    <w:rsid w:val="00227DD8"/>
    <w:rsid w:val="00245B2B"/>
    <w:rsid w:val="0025650B"/>
    <w:rsid w:val="002640DE"/>
    <w:rsid w:val="00280781"/>
    <w:rsid w:val="00290619"/>
    <w:rsid w:val="00296690"/>
    <w:rsid w:val="002C2E20"/>
    <w:rsid w:val="002C78A5"/>
    <w:rsid w:val="002D61FD"/>
    <w:rsid w:val="00316B6B"/>
    <w:rsid w:val="00317C5C"/>
    <w:rsid w:val="00322301"/>
    <w:rsid w:val="00353406"/>
    <w:rsid w:val="00356B9B"/>
    <w:rsid w:val="003721EC"/>
    <w:rsid w:val="00383871"/>
    <w:rsid w:val="003B0B96"/>
    <w:rsid w:val="003B0EA2"/>
    <w:rsid w:val="003E2393"/>
    <w:rsid w:val="003F3198"/>
    <w:rsid w:val="003F6459"/>
    <w:rsid w:val="00402DCC"/>
    <w:rsid w:val="0042469A"/>
    <w:rsid w:val="0044409B"/>
    <w:rsid w:val="00467A8F"/>
    <w:rsid w:val="004E4E1A"/>
    <w:rsid w:val="00506457"/>
    <w:rsid w:val="005142D9"/>
    <w:rsid w:val="00515711"/>
    <w:rsid w:val="00547AD4"/>
    <w:rsid w:val="0056047D"/>
    <w:rsid w:val="005640B1"/>
    <w:rsid w:val="00570DED"/>
    <w:rsid w:val="005F2618"/>
    <w:rsid w:val="005F43FF"/>
    <w:rsid w:val="00603156"/>
    <w:rsid w:val="00635E7A"/>
    <w:rsid w:val="0064390D"/>
    <w:rsid w:val="00674CC8"/>
    <w:rsid w:val="00685CCD"/>
    <w:rsid w:val="006932A2"/>
    <w:rsid w:val="006A5F7D"/>
    <w:rsid w:val="006A6802"/>
    <w:rsid w:val="006C76F2"/>
    <w:rsid w:val="006D7A9B"/>
    <w:rsid w:val="006E64D3"/>
    <w:rsid w:val="006E7CFF"/>
    <w:rsid w:val="006F4D7E"/>
    <w:rsid w:val="00705857"/>
    <w:rsid w:val="00706909"/>
    <w:rsid w:val="00714C1D"/>
    <w:rsid w:val="007202E4"/>
    <w:rsid w:val="00720A3E"/>
    <w:rsid w:val="007233D2"/>
    <w:rsid w:val="007240BD"/>
    <w:rsid w:val="00747573"/>
    <w:rsid w:val="00756A5F"/>
    <w:rsid w:val="0077198D"/>
    <w:rsid w:val="007818A4"/>
    <w:rsid w:val="00787158"/>
    <w:rsid w:val="007A461C"/>
    <w:rsid w:val="007B632C"/>
    <w:rsid w:val="007E5C34"/>
    <w:rsid w:val="00804275"/>
    <w:rsid w:val="0081385A"/>
    <w:rsid w:val="00825E94"/>
    <w:rsid w:val="00826711"/>
    <w:rsid w:val="00864C11"/>
    <w:rsid w:val="00871728"/>
    <w:rsid w:val="00895288"/>
    <w:rsid w:val="008A40C0"/>
    <w:rsid w:val="008D06E0"/>
    <w:rsid w:val="008D2D96"/>
    <w:rsid w:val="008D6295"/>
    <w:rsid w:val="008F2D42"/>
    <w:rsid w:val="00943D7E"/>
    <w:rsid w:val="00950170"/>
    <w:rsid w:val="0095438A"/>
    <w:rsid w:val="00963616"/>
    <w:rsid w:val="00970314"/>
    <w:rsid w:val="00972170"/>
    <w:rsid w:val="009867B8"/>
    <w:rsid w:val="00991D64"/>
    <w:rsid w:val="009C1CE2"/>
    <w:rsid w:val="009D0122"/>
    <w:rsid w:val="009D2EC5"/>
    <w:rsid w:val="009D4FAC"/>
    <w:rsid w:val="009F7587"/>
    <w:rsid w:val="00A20E5E"/>
    <w:rsid w:val="00A21E1F"/>
    <w:rsid w:val="00A2436D"/>
    <w:rsid w:val="00A260BF"/>
    <w:rsid w:val="00A26567"/>
    <w:rsid w:val="00A31845"/>
    <w:rsid w:val="00A42CBC"/>
    <w:rsid w:val="00A441BC"/>
    <w:rsid w:val="00A44B8D"/>
    <w:rsid w:val="00A52CBD"/>
    <w:rsid w:val="00A674C7"/>
    <w:rsid w:val="00A759A4"/>
    <w:rsid w:val="00AB3B7F"/>
    <w:rsid w:val="00AD6D57"/>
    <w:rsid w:val="00B016E7"/>
    <w:rsid w:val="00B23051"/>
    <w:rsid w:val="00B35513"/>
    <w:rsid w:val="00B3641A"/>
    <w:rsid w:val="00B43B26"/>
    <w:rsid w:val="00B5232E"/>
    <w:rsid w:val="00B54802"/>
    <w:rsid w:val="00B93D78"/>
    <w:rsid w:val="00BB0925"/>
    <w:rsid w:val="00BB2FA4"/>
    <w:rsid w:val="00C14FA0"/>
    <w:rsid w:val="00C33798"/>
    <w:rsid w:val="00C37DF3"/>
    <w:rsid w:val="00C41FA3"/>
    <w:rsid w:val="00C47696"/>
    <w:rsid w:val="00C66672"/>
    <w:rsid w:val="00C964D0"/>
    <w:rsid w:val="00C97056"/>
    <w:rsid w:val="00CC1D40"/>
    <w:rsid w:val="00CC43A8"/>
    <w:rsid w:val="00CD0B5C"/>
    <w:rsid w:val="00CD27DE"/>
    <w:rsid w:val="00CD3C04"/>
    <w:rsid w:val="00CE68DB"/>
    <w:rsid w:val="00CE70FF"/>
    <w:rsid w:val="00CE772C"/>
    <w:rsid w:val="00CF6878"/>
    <w:rsid w:val="00CF69B7"/>
    <w:rsid w:val="00D06A58"/>
    <w:rsid w:val="00D12F21"/>
    <w:rsid w:val="00D16860"/>
    <w:rsid w:val="00D17FC9"/>
    <w:rsid w:val="00D22B20"/>
    <w:rsid w:val="00D30E04"/>
    <w:rsid w:val="00D319AF"/>
    <w:rsid w:val="00D503B9"/>
    <w:rsid w:val="00D54884"/>
    <w:rsid w:val="00D662AC"/>
    <w:rsid w:val="00D82F3A"/>
    <w:rsid w:val="00D8324C"/>
    <w:rsid w:val="00D834F4"/>
    <w:rsid w:val="00DA2F93"/>
    <w:rsid w:val="00DA376A"/>
    <w:rsid w:val="00DA7C22"/>
    <w:rsid w:val="00DB6D01"/>
    <w:rsid w:val="00DC1EFD"/>
    <w:rsid w:val="00DC4AE1"/>
    <w:rsid w:val="00DC5041"/>
    <w:rsid w:val="00DD5362"/>
    <w:rsid w:val="00E018A1"/>
    <w:rsid w:val="00E0427F"/>
    <w:rsid w:val="00E206FA"/>
    <w:rsid w:val="00E26ACB"/>
    <w:rsid w:val="00E440F5"/>
    <w:rsid w:val="00E505DF"/>
    <w:rsid w:val="00E55E0B"/>
    <w:rsid w:val="00E77EFD"/>
    <w:rsid w:val="00E80D9A"/>
    <w:rsid w:val="00E86BD9"/>
    <w:rsid w:val="00EA741B"/>
    <w:rsid w:val="00EC324D"/>
    <w:rsid w:val="00EC5962"/>
    <w:rsid w:val="00EF28FC"/>
    <w:rsid w:val="00F25166"/>
    <w:rsid w:val="00F26D94"/>
    <w:rsid w:val="00F60985"/>
    <w:rsid w:val="00F736FE"/>
    <w:rsid w:val="00F74085"/>
    <w:rsid w:val="00FA116E"/>
    <w:rsid w:val="00FA5306"/>
    <w:rsid w:val="00FD023E"/>
    <w:rsid w:val="01CC35BD"/>
    <w:rsid w:val="023E3CAB"/>
    <w:rsid w:val="04B200D6"/>
    <w:rsid w:val="056D51E5"/>
    <w:rsid w:val="0785588C"/>
    <w:rsid w:val="089A6FBE"/>
    <w:rsid w:val="0C0405A6"/>
    <w:rsid w:val="0C7265F3"/>
    <w:rsid w:val="0CCA1623"/>
    <w:rsid w:val="10936E2F"/>
    <w:rsid w:val="11B20A22"/>
    <w:rsid w:val="16F80C53"/>
    <w:rsid w:val="174A79B6"/>
    <w:rsid w:val="194A3FD0"/>
    <w:rsid w:val="1A982AA5"/>
    <w:rsid w:val="1CF8794C"/>
    <w:rsid w:val="1F155E6A"/>
    <w:rsid w:val="234A0A79"/>
    <w:rsid w:val="2560721B"/>
    <w:rsid w:val="25E70997"/>
    <w:rsid w:val="266874E4"/>
    <w:rsid w:val="275B1F22"/>
    <w:rsid w:val="2D66608E"/>
    <w:rsid w:val="2DDC2823"/>
    <w:rsid w:val="2F2A5738"/>
    <w:rsid w:val="30EE43F3"/>
    <w:rsid w:val="343F3429"/>
    <w:rsid w:val="348A014D"/>
    <w:rsid w:val="353478D5"/>
    <w:rsid w:val="35C47A28"/>
    <w:rsid w:val="35EF7EB5"/>
    <w:rsid w:val="36724B2C"/>
    <w:rsid w:val="36EE143F"/>
    <w:rsid w:val="37A17BE2"/>
    <w:rsid w:val="38C51A17"/>
    <w:rsid w:val="3ACC4A2B"/>
    <w:rsid w:val="3B746A50"/>
    <w:rsid w:val="3CAD3D78"/>
    <w:rsid w:val="3D7451A0"/>
    <w:rsid w:val="3E7B5D9C"/>
    <w:rsid w:val="40094B12"/>
    <w:rsid w:val="415806FD"/>
    <w:rsid w:val="41B0361F"/>
    <w:rsid w:val="45A52B4D"/>
    <w:rsid w:val="45D70A24"/>
    <w:rsid w:val="45E06C36"/>
    <w:rsid w:val="47412851"/>
    <w:rsid w:val="47B9587F"/>
    <w:rsid w:val="48084C8C"/>
    <w:rsid w:val="490C72CC"/>
    <w:rsid w:val="49162474"/>
    <w:rsid w:val="4A890446"/>
    <w:rsid w:val="4AD44726"/>
    <w:rsid w:val="4B1B1F2F"/>
    <w:rsid w:val="4B3B0BCF"/>
    <w:rsid w:val="4E4024AA"/>
    <w:rsid w:val="507034E3"/>
    <w:rsid w:val="533F17CB"/>
    <w:rsid w:val="55220520"/>
    <w:rsid w:val="563042AE"/>
    <w:rsid w:val="566464CE"/>
    <w:rsid w:val="595C51FF"/>
    <w:rsid w:val="5B2B2979"/>
    <w:rsid w:val="60E36BD4"/>
    <w:rsid w:val="616246C8"/>
    <w:rsid w:val="649E0022"/>
    <w:rsid w:val="65C82F82"/>
    <w:rsid w:val="65DF738E"/>
    <w:rsid w:val="65E70BA2"/>
    <w:rsid w:val="6697228E"/>
    <w:rsid w:val="6BD66C61"/>
    <w:rsid w:val="6C8130EE"/>
    <w:rsid w:val="6D234268"/>
    <w:rsid w:val="6DA855AB"/>
    <w:rsid w:val="6E970258"/>
    <w:rsid w:val="6FBC5D28"/>
    <w:rsid w:val="707D4ABF"/>
    <w:rsid w:val="714904E7"/>
    <w:rsid w:val="7250522F"/>
    <w:rsid w:val="735D12A8"/>
    <w:rsid w:val="73A17BCC"/>
    <w:rsid w:val="776B7073"/>
    <w:rsid w:val="7BF2564C"/>
    <w:rsid w:val="7D562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9"/>
    <w:pPr>
      <w:spacing w:beforeAutospacing="1" w:afterAutospacing="1"/>
      <w:jc w:val="left"/>
      <w:outlineLvl w:val="2"/>
    </w:pPr>
    <w:rPr>
      <w:rFonts w:hint="eastAsia" w:ascii="宋体" w:hAnsi="宋体" w:eastAsia="宋体" w:cs="Times New Roman"/>
      <w:b/>
      <w:kern w:val="0"/>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5"/>
    <w:unhideWhenUsed/>
    <w:qFormat/>
    <w:uiPriority w:val="99"/>
    <w:pPr>
      <w:jc w:val="left"/>
    </w:pPr>
  </w:style>
  <w:style w:type="paragraph" w:styleId="4">
    <w:name w:val="Balloon Text"/>
    <w:basedOn w:val="1"/>
    <w:link w:val="37"/>
    <w:unhideWhenUsed/>
    <w:qFormat/>
    <w:uiPriority w:val="99"/>
    <w:rPr>
      <w:sz w:val="18"/>
      <w:szCs w:val="18"/>
    </w:rPr>
  </w:style>
  <w:style w:type="paragraph" w:styleId="5">
    <w:name w:val="footer"/>
    <w:basedOn w:val="1"/>
    <w:link w:val="33"/>
    <w:unhideWhenUsed/>
    <w:qFormat/>
    <w:uiPriority w:val="99"/>
    <w:pPr>
      <w:tabs>
        <w:tab w:val="center" w:pos="4153"/>
        <w:tab w:val="right" w:pos="8306"/>
      </w:tabs>
      <w:snapToGrid w:val="0"/>
      <w:jc w:val="left"/>
    </w:pPr>
    <w:rPr>
      <w:sz w:val="18"/>
      <w:szCs w:val="18"/>
    </w:rPr>
  </w:style>
  <w:style w:type="paragraph" w:styleId="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spacing w:beforeAutospacing="1" w:afterAutospacing="1"/>
      <w:jc w:val="left"/>
    </w:pPr>
    <w:rPr>
      <w:rFonts w:cs="Times New Roman"/>
      <w:kern w:val="0"/>
      <w:sz w:val="24"/>
    </w:rPr>
  </w:style>
  <w:style w:type="paragraph" w:styleId="8">
    <w:name w:val="annotation subject"/>
    <w:basedOn w:val="3"/>
    <w:next w:val="3"/>
    <w:link w:val="36"/>
    <w:unhideWhenUsed/>
    <w:qFormat/>
    <w:uiPriority w:val="99"/>
    <w:rPr>
      <w:b/>
      <w:bCs/>
    </w:rPr>
  </w:style>
  <w:style w:type="character" w:styleId="11">
    <w:name w:val="Strong"/>
    <w:basedOn w:val="10"/>
    <w:qFormat/>
    <w:uiPriority w:val="22"/>
    <w:rPr>
      <w:b/>
      <w:sz w:val="24"/>
      <w:szCs w:val="24"/>
    </w:rPr>
  </w:style>
  <w:style w:type="character" w:styleId="12">
    <w:name w:val="FollowedHyperlink"/>
    <w:basedOn w:val="10"/>
    <w:unhideWhenUsed/>
    <w:qFormat/>
    <w:uiPriority w:val="99"/>
    <w:rPr>
      <w:color w:val="800080"/>
      <w:u w:val="none"/>
    </w:rPr>
  </w:style>
  <w:style w:type="character" w:styleId="13">
    <w:name w:val="Emphasis"/>
    <w:basedOn w:val="10"/>
    <w:qFormat/>
    <w:uiPriority w:val="20"/>
    <w:rPr>
      <w:color w:val="CC0000"/>
      <w:sz w:val="24"/>
      <w:szCs w:val="24"/>
    </w:rPr>
  </w:style>
  <w:style w:type="character" w:styleId="14">
    <w:name w:val="Hyperlink"/>
    <w:basedOn w:val="10"/>
    <w:unhideWhenUsed/>
    <w:qFormat/>
    <w:uiPriority w:val="99"/>
    <w:rPr>
      <w:color w:val="FF0000"/>
      <w:sz w:val="18"/>
      <w:szCs w:val="18"/>
      <w:u w:val="none"/>
    </w:rPr>
  </w:style>
  <w:style w:type="character" w:styleId="15">
    <w:name w:val="annotation reference"/>
    <w:basedOn w:val="10"/>
    <w:unhideWhenUsed/>
    <w:qFormat/>
    <w:uiPriority w:val="99"/>
    <w:rPr>
      <w:sz w:val="21"/>
      <w:szCs w:val="21"/>
    </w:rPr>
  </w:style>
  <w:style w:type="character" w:styleId="16">
    <w:name w:val="HTML Cite"/>
    <w:basedOn w:val="10"/>
    <w:unhideWhenUsed/>
    <w:qFormat/>
    <w:uiPriority w:val="99"/>
    <w:rPr>
      <w:sz w:val="24"/>
      <w:szCs w:val="24"/>
    </w:rPr>
  </w:style>
  <w:style w:type="paragraph" w:customStyle="1" w:styleId="17">
    <w:name w:val="列出段落1"/>
    <w:basedOn w:val="1"/>
    <w:qFormat/>
    <w:uiPriority w:val="34"/>
    <w:pPr>
      <w:ind w:firstLine="420" w:firstLineChars="200"/>
    </w:pPr>
  </w:style>
  <w:style w:type="character" w:customStyle="1" w:styleId="18">
    <w:name w:val="明显参考1"/>
    <w:basedOn w:val="10"/>
    <w:qFormat/>
    <w:uiPriority w:val="32"/>
    <w:rPr>
      <w:b/>
      <w:bCs/>
      <w:smallCaps/>
      <w:color w:val="C0504D" w:themeColor="accent2"/>
      <w:spacing w:val="5"/>
      <w:u w:val="single"/>
      <w14:textFill>
        <w14:solidFill>
          <w14:schemeClr w14:val="accent2"/>
        </w14:solidFill>
      </w14:textFill>
    </w:rPr>
  </w:style>
  <w:style w:type="character" w:customStyle="1" w:styleId="19">
    <w:name w:val="bsharetext"/>
    <w:basedOn w:val="10"/>
    <w:qFormat/>
    <w:uiPriority w:val="0"/>
  </w:style>
  <w:style w:type="character" w:customStyle="1" w:styleId="20">
    <w:name w:val="del"/>
    <w:basedOn w:val="10"/>
    <w:qFormat/>
    <w:uiPriority w:val="0"/>
  </w:style>
  <w:style w:type="character" w:customStyle="1" w:styleId="21">
    <w:name w:val="del1"/>
    <w:basedOn w:val="10"/>
    <w:qFormat/>
    <w:uiPriority w:val="0"/>
    <w:rPr>
      <w:vanish/>
      <w:color w:val="666666"/>
      <w:sz w:val="18"/>
      <w:szCs w:val="18"/>
      <w:u w:val="single"/>
    </w:rPr>
  </w:style>
  <w:style w:type="character" w:customStyle="1" w:styleId="22">
    <w:name w:val="del2"/>
    <w:basedOn w:val="10"/>
    <w:qFormat/>
    <w:uiPriority w:val="0"/>
    <w:rPr>
      <w:vanish/>
    </w:rPr>
  </w:style>
  <w:style w:type="character" w:customStyle="1" w:styleId="23">
    <w:name w:val="del3"/>
    <w:basedOn w:val="10"/>
    <w:qFormat/>
    <w:uiPriority w:val="0"/>
    <w:rPr>
      <w:vanish/>
    </w:rPr>
  </w:style>
  <w:style w:type="character" w:customStyle="1" w:styleId="24">
    <w:name w:val="jbox-icon"/>
    <w:basedOn w:val="10"/>
    <w:qFormat/>
    <w:uiPriority w:val="0"/>
  </w:style>
  <w:style w:type="character" w:customStyle="1" w:styleId="25">
    <w:name w:val="jbox-icon-loading"/>
    <w:basedOn w:val="10"/>
    <w:qFormat/>
    <w:uiPriority w:val="0"/>
  </w:style>
  <w:style w:type="character" w:customStyle="1" w:styleId="26">
    <w:name w:val="jbox-icon-success"/>
    <w:basedOn w:val="10"/>
    <w:qFormat/>
    <w:uiPriority w:val="0"/>
  </w:style>
  <w:style w:type="character" w:customStyle="1" w:styleId="27">
    <w:name w:val="jbox-icon-info"/>
    <w:basedOn w:val="10"/>
    <w:qFormat/>
    <w:uiPriority w:val="0"/>
  </w:style>
  <w:style w:type="character" w:customStyle="1" w:styleId="28">
    <w:name w:val="jbox-icon-question"/>
    <w:basedOn w:val="10"/>
    <w:qFormat/>
    <w:uiPriority w:val="0"/>
  </w:style>
  <w:style w:type="character" w:customStyle="1" w:styleId="29">
    <w:name w:val="jbox-icon-warning"/>
    <w:basedOn w:val="10"/>
    <w:qFormat/>
    <w:uiPriority w:val="0"/>
  </w:style>
  <w:style w:type="character" w:customStyle="1" w:styleId="30">
    <w:name w:val="jbox-icon-error"/>
    <w:basedOn w:val="10"/>
    <w:qFormat/>
    <w:uiPriority w:val="0"/>
  </w:style>
  <w:style w:type="character" w:customStyle="1" w:styleId="31">
    <w:name w:val="jbox-icon-none"/>
    <w:basedOn w:val="10"/>
    <w:qFormat/>
    <w:uiPriority w:val="0"/>
    <w:rPr>
      <w:vanish/>
    </w:rPr>
  </w:style>
  <w:style w:type="character" w:customStyle="1" w:styleId="32">
    <w:name w:val="页眉 Char"/>
    <w:basedOn w:val="10"/>
    <w:link w:val="6"/>
    <w:semiHidden/>
    <w:qFormat/>
    <w:uiPriority w:val="99"/>
    <w:rPr>
      <w:rFonts w:asciiTheme="minorHAnsi" w:hAnsiTheme="minorHAnsi" w:eastAsiaTheme="minorEastAsia" w:cstheme="minorBidi"/>
      <w:kern w:val="2"/>
      <w:sz w:val="18"/>
      <w:szCs w:val="18"/>
    </w:rPr>
  </w:style>
  <w:style w:type="character" w:customStyle="1" w:styleId="33">
    <w:name w:val="页脚 Char"/>
    <w:basedOn w:val="10"/>
    <w:link w:val="5"/>
    <w:qFormat/>
    <w:uiPriority w:val="99"/>
    <w:rPr>
      <w:rFonts w:asciiTheme="minorHAnsi" w:hAnsiTheme="minorHAnsi" w:eastAsiaTheme="minorEastAsia" w:cstheme="minorBidi"/>
      <w:kern w:val="2"/>
      <w:sz w:val="18"/>
      <w:szCs w:val="18"/>
    </w:rPr>
  </w:style>
  <w:style w:type="paragraph" w:customStyle="1" w:styleId="34">
    <w:name w:val="列出段落2"/>
    <w:basedOn w:val="1"/>
    <w:unhideWhenUsed/>
    <w:qFormat/>
    <w:uiPriority w:val="99"/>
    <w:pPr>
      <w:ind w:firstLine="420" w:firstLineChars="200"/>
    </w:pPr>
  </w:style>
  <w:style w:type="character" w:customStyle="1" w:styleId="35">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36">
    <w:name w:val="批注主题 Char"/>
    <w:basedOn w:val="35"/>
    <w:link w:val="8"/>
    <w:semiHidden/>
    <w:qFormat/>
    <w:uiPriority w:val="99"/>
    <w:rPr>
      <w:rFonts w:asciiTheme="minorHAnsi" w:hAnsiTheme="minorHAnsi" w:eastAsiaTheme="minorEastAsia" w:cstheme="minorBidi"/>
      <w:b/>
      <w:bCs/>
      <w:kern w:val="2"/>
      <w:sz w:val="21"/>
      <w:szCs w:val="22"/>
    </w:rPr>
  </w:style>
  <w:style w:type="character" w:customStyle="1" w:styleId="37">
    <w:name w:val="批注框文本 Char"/>
    <w:basedOn w:val="10"/>
    <w:link w:val="4"/>
    <w:semiHidden/>
    <w:qFormat/>
    <w:uiPriority w:val="99"/>
    <w:rPr>
      <w:rFonts w:asciiTheme="minorHAnsi" w:hAnsiTheme="minorHAnsi" w:eastAsiaTheme="minorEastAsia" w:cstheme="minorBidi"/>
      <w:kern w:val="2"/>
      <w:sz w:val="18"/>
      <w:szCs w:val="18"/>
    </w:rPr>
  </w:style>
  <w:style w:type="paragraph" w:customStyle="1" w:styleId="38">
    <w:name w:val="正文1"/>
    <w:basedOn w:val="1"/>
    <w:qFormat/>
    <w:uiPriority w:val="0"/>
    <w:pPr>
      <w:widowControl/>
    </w:pPr>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588</Words>
  <Characters>3353</Characters>
  <Lines>27</Lines>
  <Paragraphs>7</Paragraphs>
  <TotalTime>2</TotalTime>
  <ScaleCrop>false</ScaleCrop>
  <LinksUpToDate>false</LinksUpToDate>
  <CharactersWithSpaces>3934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2016-11-15T01:05:00Z</dcterms:created>
  <dc:creator>杨云勇</dc:creator>
  <cp:lastModifiedBy>ch</cp:lastModifiedBy>
  <cp:lastPrinted>2021-04-07T01:44:47Z</cp:lastPrinted>
  <dcterms:modified xsi:type="dcterms:W3CDTF">2021-04-07T01:44:50Z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